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02D0A" w:rsidRPr="00BC7064" w:rsidP="00402D0A">
      <w:pPr>
        <w:textAlignment w:val="baseline"/>
        <w:rPr>
          <w:sz w:val="26"/>
          <w:szCs w:val="26"/>
        </w:rPr>
      </w:pPr>
      <w:r w:rsidRPr="00BC7064">
        <w:rPr>
          <w:sz w:val="26"/>
          <w:szCs w:val="26"/>
        </w:rPr>
        <w:t xml:space="preserve">Дело № </w:t>
      </w:r>
      <w:r w:rsidRPr="00BC7064" w:rsidR="00BC7064">
        <w:rPr>
          <w:sz w:val="26"/>
          <w:szCs w:val="26"/>
        </w:rPr>
        <w:t>05-0324/2607/2025</w:t>
      </w:r>
      <w:r w:rsidRPr="00BC7064">
        <w:rPr>
          <w:sz w:val="26"/>
          <w:szCs w:val="26"/>
        </w:rPr>
        <w:t xml:space="preserve"> </w:t>
      </w:r>
      <w:r w:rsidRPr="00BC7064">
        <w:rPr>
          <w:sz w:val="26"/>
          <w:szCs w:val="26"/>
        </w:rPr>
        <w:tab/>
      </w:r>
    </w:p>
    <w:p w:rsidR="00402D0A" w:rsidRPr="00BC7064" w:rsidP="00402D0A">
      <w:pPr>
        <w:textAlignment w:val="baseline"/>
        <w:rPr>
          <w:sz w:val="26"/>
          <w:szCs w:val="26"/>
        </w:rPr>
      </w:pPr>
      <w:r w:rsidRPr="00BC7064">
        <w:rPr>
          <w:sz w:val="26"/>
          <w:szCs w:val="26"/>
        </w:rPr>
        <w:t>УИД:</w:t>
      </w:r>
      <w:r w:rsidRPr="00BC7064" w:rsidR="00BC7064">
        <w:rPr>
          <w:sz w:val="26"/>
          <w:szCs w:val="26"/>
        </w:rPr>
        <w:t>86MS0062-01-2025-002010-06</w:t>
      </w:r>
    </w:p>
    <w:p w:rsidR="00402D0A" w:rsidRPr="00BC7064" w:rsidP="00402D0A">
      <w:pPr>
        <w:textAlignment w:val="baseline"/>
        <w:rPr>
          <w:sz w:val="26"/>
          <w:szCs w:val="26"/>
        </w:rPr>
      </w:pPr>
      <w:r w:rsidRPr="00BC7064">
        <w:rPr>
          <w:sz w:val="26"/>
          <w:szCs w:val="26"/>
        </w:rPr>
        <w:tab/>
      </w:r>
      <w:r w:rsidRPr="00BC7064">
        <w:rPr>
          <w:sz w:val="26"/>
          <w:szCs w:val="26"/>
        </w:rPr>
        <w:tab/>
      </w:r>
      <w:r w:rsidRPr="00BC7064">
        <w:rPr>
          <w:sz w:val="26"/>
          <w:szCs w:val="26"/>
        </w:rPr>
        <w:tab/>
      </w:r>
      <w:r w:rsidRPr="00BC7064">
        <w:rPr>
          <w:sz w:val="26"/>
          <w:szCs w:val="26"/>
        </w:rPr>
        <w:tab/>
      </w:r>
      <w:r w:rsidRPr="00BC7064">
        <w:rPr>
          <w:sz w:val="26"/>
          <w:szCs w:val="26"/>
        </w:rPr>
        <w:tab/>
      </w:r>
      <w:r w:rsidRPr="00BC7064">
        <w:rPr>
          <w:sz w:val="26"/>
          <w:szCs w:val="26"/>
        </w:rPr>
        <w:tab/>
      </w:r>
      <w:r w:rsidRPr="00BC7064">
        <w:rPr>
          <w:sz w:val="26"/>
          <w:szCs w:val="26"/>
        </w:rPr>
        <w:tab/>
        <w:t xml:space="preserve">        </w:t>
      </w:r>
    </w:p>
    <w:p w:rsidR="00402D0A" w:rsidRPr="00BC7064" w:rsidP="00402D0A">
      <w:pPr>
        <w:jc w:val="center"/>
        <w:textAlignment w:val="baseline"/>
        <w:rPr>
          <w:sz w:val="26"/>
          <w:szCs w:val="26"/>
        </w:rPr>
      </w:pPr>
      <w:r w:rsidRPr="00BC7064">
        <w:rPr>
          <w:sz w:val="26"/>
          <w:szCs w:val="26"/>
        </w:rPr>
        <w:t>ПОСТАНОВЛЕНИЕ</w:t>
      </w:r>
    </w:p>
    <w:p w:rsidR="00402D0A" w:rsidRPr="00BC7064" w:rsidP="00402D0A">
      <w:pPr>
        <w:jc w:val="center"/>
        <w:textAlignment w:val="baseline"/>
        <w:rPr>
          <w:sz w:val="26"/>
          <w:szCs w:val="26"/>
        </w:rPr>
      </w:pPr>
      <w:r w:rsidRPr="00BC7064">
        <w:rPr>
          <w:sz w:val="26"/>
          <w:szCs w:val="26"/>
        </w:rPr>
        <w:t xml:space="preserve">о назначении административного наказания </w:t>
      </w:r>
    </w:p>
    <w:p w:rsidR="00402D0A" w:rsidRPr="00BC7064" w:rsidP="00402D0A">
      <w:pPr>
        <w:jc w:val="center"/>
        <w:textAlignment w:val="baseline"/>
        <w:rPr>
          <w:b/>
          <w:sz w:val="26"/>
          <w:szCs w:val="26"/>
        </w:rPr>
      </w:pPr>
    </w:p>
    <w:p w:rsidR="00402D0A" w:rsidRPr="00BC7064" w:rsidP="00402D0A">
      <w:pPr>
        <w:textAlignment w:val="baseline"/>
        <w:rPr>
          <w:sz w:val="26"/>
          <w:szCs w:val="26"/>
        </w:rPr>
      </w:pPr>
      <w:r w:rsidRPr="00BC7064">
        <w:rPr>
          <w:sz w:val="26"/>
          <w:szCs w:val="26"/>
        </w:rPr>
        <w:t xml:space="preserve">         город Сургут                                                                    </w:t>
      </w:r>
      <w:r w:rsidRPr="00BC7064" w:rsidR="00BC7064">
        <w:rPr>
          <w:sz w:val="26"/>
          <w:szCs w:val="26"/>
        </w:rPr>
        <w:t>16 апреля 2025</w:t>
      </w:r>
      <w:r w:rsidRPr="00BC7064">
        <w:rPr>
          <w:sz w:val="26"/>
          <w:szCs w:val="26"/>
        </w:rPr>
        <w:t xml:space="preserve"> года</w:t>
      </w:r>
    </w:p>
    <w:p w:rsidR="00402D0A" w:rsidRPr="00BC7064" w:rsidP="00402D0A">
      <w:pPr>
        <w:textAlignment w:val="baseline"/>
        <w:rPr>
          <w:b/>
          <w:sz w:val="26"/>
          <w:szCs w:val="26"/>
        </w:rPr>
      </w:pPr>
    </w:p>
    <w:p w:rsidR="00402D0A" w:rsidRPr="00BC7064" w:rsidP="00402D0A">
      <w:pPr>
        <w:jc w:val="both"/>
        <w:textAlignment w:val="baseline"/>
        <w:rPr>
          <w:sz w:val="26"/>
          <w:szCs w:val="26"/>
        </w:rPr>
      </w:pPr>
      <w:r w:rsidRPr="00BC7064">
        <w:rPr>
          <w:sz w:val="26"/>
          <w:szCs w:val="26"/>
        </w:rPr>
        <w:t xml:space="preserve">          Исполняющий обязанности мирового судьи судебного участка № 7 </w:t>
      </w:r>
      <w:r w:rsidRPr="00BC7064">
        <w:rPr>
          <w:sz w:val="26"/>
          <w:szCs w:val="26"/>
        </w:rPr>
        <w:t>Сургутского</w:t>
      </w:r>
      <w:r w:rsidRPr="00BC7064">
        <w:rPr>
          <w:sz w:val="26"/>
          <w:szCs w:val="26"/>
        </w:rPr>
        <w:t xml:space="preserve"> судебного района города окружного значения Сургута Ханты-Мансийского автономного округа – Югры </w:t>
      </w:r>
      <w:r w:rsidRPr="00BC7064">
        <w:rPr>
          <w:sz w:val="26"/>
          <w:szCs w:val="26"/>
        </w:rPr>
        <w:t>Зиннурова</w:t>
      </w:r>
      <w:r w:rsidRPr="00BC7064">
        <w:rPr>
          <w:sz w:val="26"/>
          <w:szCs w:val="26"/>
        </w:rPr>
        <w:t xml:space="preserve"> Т.И., находящийся по адресу: ХМАО-Югра, г. Сургут, ул. Гагарина, д. 9, </w:t>
      </w:r>
      <w:r w:rsidRPr="00BC7064">
        <w:rPr>
          <w:sz w:val="26"/>
          <w:szCs w:val="26"/>
        </w:rPr>
        <w:t>каб</w:t>
      </w:r>
      <w:r w:rsidRPr="00BC7064">
        <w:rPr>
          <w:sz w:val="26"/>
          <w:szCs w:val="26"/>
        </w:rPr>
        <w:t xml:space="preserve">. 509, рассмотрев материалы дела об административном правонарушении, предусмотренном частью 1 статьи 15.33.2 Кодекса Российской Федерации об административных правонарушениях, в отношении должностного лица </w:t>
      </w:r>
    </w:p>
    <w:p w:rsidR="00402D0A" w:rsidRPr="00BC7064" w:rsidP="00BC7064">
      <w:pPr>
        <w:ind w:firstLine="708"/>
        <w:jc w:val="both"/>
        <w:textAlignment w:val="baseline"/>
        <w:rPr>
          <w:sz w:val="26"/>
          <w:szCs w:val="26"/>
        </w:rPr>
      </w:pPr>
      <w:r w:rsidRPr="00BC7064">
        <w:rPr>
          <w:sz w:val="26"/>
          <w:szCs w:val="26"/>
        </w:rPr>
        <w:t>Микуляк</w:t>
      </w:r>
      <w:r w:rsidRPr="00BC7064">
        <w:rPr>
          <w:sz w:val="26"/>
          <w:szCs w:val="26"/>
        </w:rPr>
        <w:t xml:space="preserve"> Романа Степановича</w:t>
      </w:r>
      <w:r w:rsidRPr="00BC7064">
        <w:rPr>
          <w:sz w:val="26"/>
          <w:szCs w:val="26"/>
        </w:rPr>
        <w:t xml:space="preserve">, </w:t>
      </w:r>
      <w:r w:rsidRPr="008B3CD2" w:rsidR="008B3CD2">
        <w:rPr>
          <w:sz w:val="26"/>
          <w:szCs w:val="26"/>
        </w:rPr>
        <w:t>…….</w:t>
      </w:r>
      <w:r w:rsidRPr="008B3CD2" w:rsidR="008B3CD2">
        <w:rPr>
          <w:sz w:val="26"/>
          <w:szCs w:val="26"/>
        </w:rPr>
        <w:t>.</w:t>
      </w:r>
      <w:r w:rsidRPr="00BC7064">
        <w:rPr>
          <w:sz w:val="26"/>
          <w:szCs w:val="26"/>
        </w:rPr>
        <w:t xml:space="preserve">, </w:t>
      </w:r>
    </w:p>
    <w:p w:rsidR="00402D0A" w:rsidRPr="00BC7064" w:rsidP="00402D0A">
      <w:pPr>
        <w:jc w:val="center"/>
        <w:textAlignment w:val="baseline"/>
        <w:rPr>
          <w:sz w:val="26"/>
          <w:szCs w:val="26"/>
        </w:rPr>
      </w:pPr>
      <w:r w:rsidRPr="00BC7064">
        <w:rPr>
          <w:sz w:val="26"/>
          <w:szCs w:val="26"/>
        </w:rPr>
        <w:t xml:space="preserve">установил: </w:t>
      </w:r>
    </w:p>
    <w:p w:rsidR="00402D0A" w:rsidRPr="00BC7064" w:rsidP="00402D0A">
      <w:pPr>
        <w:jc w:val="center"/>
        <w:textAlignment w:val="baseline"/>
        <w:rPr>
          <w:sz w:val="26"/>
          <w:szCs w:val="26"/>
        </w:rPr>
      </w:pPr>
    </w:p>
    <w:p w:rsidR="00365B0B" w:rsidRPr="00BC7064" w:rsidP="00365B0B">
      <w:pPr>
        <w:ind w:firstLine="708"/>
        <w:jc w:val="both"/>
        <w:rPr>
          <w:sz w:val="26"/>
          <w:szCs w:val="26"/>
        </w:rPr>
      </w:pPr>
      <w:r w:rsidRPr="00BC7064">
        <w:rPr>
          <w:sz w:val="26"/>
          <w:szCs w:val="26"/>
        </w:rPr>
        <w:t>Микуляк</w:t>
      </w:r>
      <w:r w:rsidRPr="00BC7064">
        <w:rPr>
          <w:sz w:val="26"/>
          <w:szCs w:val="26"/>
        </w:rPr>
        <w:t xml:space="preserve"> Р.С.</w:t>
      </w:r>
      <w:r w:rsidRPr="00BC7064">
        <w:rPr>
          <w:sz w:val="26"/>
          <w:szCs w:val="26"/>
        </w:rPr>
        <w:t xml:space="preserve">, являясь должностным лицом </w:t>
      </w:r>
      <w:r w:rsidRPr="00BC7064">
        <w:rPr>
          <w:sz w:val="26"/>
          <w:szCs w:val="26"/>
        </w:rPr>
        <w:t xml:space="preserve">ООО «Трест </w:t>
      </w:r>
      <w:r w:rsidRPr="00BC7064">
        <w:rPr>
          <w:sz w:val="26"/>
          <w:szCs w:val="26"/>
        </w:rPr>
        <w:t>Запсибгидрострой</w:t>
      </w:r>
      <w:r w:rsidRPr="00BC7064">
        <w:rPr>
          <w:sz w:val="26"/>
          <w:szCs w:val="26"/>
        </w:rPr>
        <w:t>»</w:t>
      </w:r>
      <w:r w:rsidRPr="00BC7064">
        <w:rPr>
          <w:sz w:val="26"/>
          <w:szCs w:val="26"/>
        </w:rPr>
        <w:t xml:space="preserve"> находящегося по адресу </w:t>
      </w:r>
      <w:r w:rsidRPr="00BC7064">
        <w:rPr>
          <w:sz w:val="26"/>
          <w:szCs w:val="26"/>
        </w:rPr>
        <w:t>ХМАО-Югра, г. Сургут, ул. Университетская, д.7, эт.3 в осях 10-15 ряды А-Н блок Б</w:t>
      </w:r>
      <w:r w:rsidRPr="00BC7064">
        <w:rPr>
          <w:sz w:val="26"/>
          <w:szCs w:val="26"/>
        </w:rPr>
        <w:t xml:space="preserve">, достоверно зная </w:t>
      </w:r>
      <w:r w:rsidRPr="00BC7064">
        <w:rPr>
          <w:sz w:val="26"/>
          <w:szCs w:val="26"/>
        </w:rPr>
        <w:t>о  требованиях</w:t>
      </w:r>
      <w:r w:rsidRPr="00BC7064">
        <w:rPr>
          <w:sz w:val="26"/>
          <w:szCs w:val="26"/>
        </w:rPr>
        <w:t xml:space="preserve"> и сроках предоставления, установленных </w:t>
      </w:r>
      <w:hyperlink r:id="rId4" w:anchor="/document/10106192/entry/8" w:history="1">
        <w:r w:rsidRPr="00BC7064">
          <w:rPr>
            <w:rStyle w:val="Hyperlink"/>
            <w:color w:val="auto"/>
            <w:sz w:val="26"/>
            <w:szCs w:val="26"/>
            <w:u w:val="none"/>
          </w:rPr>
          <w:t>законодательством</w:t>
        </w:r>
      </w:hyperlink>
      <w:r w:rsidRPr="00BC7064">
        <w:rPr>
          <w:sz w:val="26"/>
          <w:szCs w:val="26"/>
        </w:rPr>
        <w:t xml:space="preserve"> Российской Федерации об индивидуальном (персонифицированном) учете в системах обязательного пенсионного и социального страхования. </w:t>
      </w:r>
      <w:r w:rsidRPr="00BC7064">
        <w:rPr>
          <w:sz w:val="26"/>
          <w:szCs w:val="26"/>
        </w:rPr>
        <w:t>15.01.2025</w:t>
      </w:r>
      <w:r w:rsidRPr="00BC7064">
        <w:rPr>
          <w:sz w:val="26"/>
          <w:szCs w:val="26"/>
        </w:rPr>
        <w:t xml:space="preserve"> по телекоммуникационным каналам связи, с нарушением установленного срока, предоставил в территориальный орган пенсионного и социального страхования Российской Федерации по ХМАО-Югре оформленную в установленном порядке отчетность по форме ЕФС-1, ГПД обращение № 101-2</w:t>
      </w:r>
      <w:r w:rsidRPr="00BC7064">
        <w:rPr>
          <w:sz w:val="26"/>
          <w:szCs w:val="26"/>
        </w:rPr>
        <w:t>5</w:t>
      </w:r>
      <w:r w:rsidRPr="00BC7064">
        <w:rPr>
          <w:sz w:val="26"/>
          <w:szCs w:val="26"/>
        </w:rPr>
        <w:t>-000-</w:t>
      </w:r>
      <w:r w:rsidRPr="00BC7064">
        <w:rPr>
          <w:sz w:val="26"/>
          <w:szCs w:val="26"/>
        </w:rPr>
        <w:t>3317</w:t>
      </w:r>
      <w:r w:rsidRPr="00BC7064">
        <w:rPr>
          <w:sz w:val="26"/>
          <w:szCs w:val="26"/>
        </w:rPr>
        <w:t>-</w:t>
      </w:r>
      <w:r w:rsidRPr="00BC7064">
        <w:rPr>
          <w:sz w:val="26"/>
          <w:szCs w:val="26"/>
        </w:rPr>
        <w:t>5433</w:t>
      </w:r>
      <w:r w:rsidRPr="00BC7064">
        <w:rPr>
          <w:sz w:val="26"/>
          <w:szCs w:val="26"/>
        </w:rPr>
        <w:t xml:space="preserve"> раздел, подраздел 1.1. содержащую сведения о начале и прекращении срока действия договора ГПХ, срок предоставления которой: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2193"/>
        <w:gridCol w:w="1915"/>
        <w:gridCol w:w="2128"/>
        <w:gridCol w:w="2576"/>
      </w:tblGrid>
      <w:tr w:rsidTr="00A3658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76" w:type="dxa"/>
            <w:tcBorders>
              <w:top w:val="single" w:sz="4" w:space="0" w:color="auto"/>
              <w:left w:val="single" w:sz="4" w:space="0" w:color="auto"/>
              <w:bottom w:val="single" w:sz="4" w:space="0" w:color="auto"/>
              <w:right w:val="single" w:sz="4" w:space="0" w:color="auto"/>
            </w:tcBorders>
            <w:hideMark/>
          </w:tcPr>
          <w:p w:rsidR="00A36582" w:rsidP="00A36582">
            <w:r w:rsidRPr="00E75CBC">
              <w:t>……..</w:t>
            </w:r>
          </w:p>
        </w:tc>
        <w:tc>
          <w:tcPr>
            <w:tcW w:w="2203" w:type="dxa"/>
            <w:tcBorders>
              <w:top w:val="single" w:sz="4" w:space="0" w:color="auto"/>
              <w:left w:val="single" w:sz="4" w:space="0" w:color="auto"/>
              <w:bottom w:val="single" w:sz="4" w:space="0" w:color="auto"/>
              <w:right w:val="single" w:sz="4" w:space="0" w:color="auto"/>
            </w:tcBorders>
            <w:hideMark/>
          </w:tcPr>
          <w:p w:rsidR="00A36582" w:rsidP="00A36582">
            <w:r w:rsidRPr="00E75CBC">
              <w:t>……..</w:t>
            </w:r>
          </w:p>
        </w:tc>
        <w:tc>
          <w:tcPr>
            <w:tcW w:w="1923" w:type="dxa"/>
            <w:tcBorders>
              <w:top w:val="single" w:sz="4" w:space="0" w:color="auto"/>
              <w:left w:val="single" w:sz="4" w:space="0" w:color="auto"/>
              <w:bottom w:val="single" w:sz="4" w:space="0" w:color="auto"/>
              <w:right w:val="single" w:sz="4" w:space="0" w:color="auto"/>
            </w:tcBorders>
            <w:hideMark/>
          </w:tcPr>
          <w:p w:rsidR="00A36582" w:rsidP="00A36582">
            <w:r w:rsidRPr="00E75CBC">
              <w:t>……..</w:t>
            </w:r>
          </w:p>
        </w:tc>
        <w:tc>
          <w:tcPr>
            <w:tcW w:w="2137" w:type="dxa"/>
            <w:tcBorders>
              <w:top w:val="single" w:sz="4" w:space="0" w:color="auto"/>
              <w:left w:val="single" w:sz="4" w:space="0" w:color="auto"/>
              <w:bottom w:val="single" w:sz="4" w:space="0" w:color="auto"/>
              <w:right w:val="single" w:sz="4" w:space="0" w:color="auto"/>
            </w:tcBorders>
            <w:hideMark/>
          </w:tcPr>
          <w:p w:rsidR="00A36582" w:rsidP="00A36582">
            <w:r w:rsidRPr="00E75CBC">
              <w:t>……..</w:t>
            </w:r>
          </w:p>
        </w:tc>
        <w:tc>
          <w:tcPr>
            <w:tcW w:w="2589" w:type="dxa"/>
            <w:tcBorders>
              <w:top w:val="single" w:sz="4" w:space="0" w:color="auto"/>
              <w:left w:val="single" w:sz="4" w:space="0" w:color="auto"/>
              <w:bottom w:val="single" w:sz="4" w:space="0" w:color="auto"/>
              <w:right w:val="single" w:sz="4" w:space="0" w:color="auto"/>
            </w:tcBorders>
            <w:hideMark/>
          </w:tcPr>
          <w:p w:rsidR="00A36582" w:rsidP="00A36582">
            <w:r w:rsidRPr="00E75CBC">
              <w:t>……..</w:t>
            </w:r>
          </w:p>
        </w:tc>
      </w:tr>
      <w:tr w:rsidTr="00A36582">
        <w:tblPrEx>
          <w:tblW w:w="0" w:type="auto"/>
          <w:tblLook w:val="04A0"/>
        </w:tblPrEx>
        <w:tc>
          <w:tcPr>
            <w:tcW w:w="776" w:type="dxa"/>
            <w:tcBorders>
              <w:top w:val="single" w:sz="4" w:space="0" w:color="auto"/>
              <w:left w:val="single" w:sz="4" w:space="0" w:color="auto"/>
              <w:bottom w:val="single" w:sz="4" w:space="0" w:color="auto"/>
              <w:right w:val="single" w:sz="4" w:space="0" w:color="auto"/>
            </w:tcBorders>
          </w:tcPr>
          <w:p w:rsidR="00A36582" w:rsidP="00A36582">
            <w:r w:rsidRPr="00E75CBC">
              <w:t>……..</w:t>
            </w:r>
          </w:p>
        </w:tc>
        <w:tc>
          <w:tcPr>
            <w:tcW w:w="2203" w:type="dxa"/>
            <w:tcBorders>
              <w:top w:val="single" w:sz="4" w:space="0" w:color="auto"/>
              <w:left w:val="single" w:sz="4" w:space="0" w:color="auto"/>
              <w:bottom w:val="single" w:sz="4" w:space="0" w:color="auto"/>
              <w:right w:val="single" w:sz="4" w:space="0" w:color="auto"/>
            </w:tcBorders>
          </w:tcPr>
          <w:p w:rsidR="00A36582" w:rsidP="00A36582">
            <w:r w:rsidRPr="00E75CBC">
              <w:t>……..</w:t>
            </w:r>
          </w:p>
        </w:tc>
        <w:tc>
          <w:tcPr>
            <w:tcW w:w="1923" w:type="dxa"/>
            <w:tcBorders>
              <w:top w:val="single" w:sz="4" w:space="0" w:color="auto"/>
              <w:left w:val="single" w:sz="4" w:space="0" w:color="auto"/>
              <w:bottom w:val="single" w:sz="4" w:space="0" w:color="auto"/>
              <w:right w:val="single" w:sz="4" w:space="0" w:color="auto"/>
            </w:tcBorders>
            <w:hideMark/>
          </w:tcPr>
          <w:p w:rsidR="00A36582" w:rsidP="00A36582">
            <w:r w:rsidRPr="00E75CBC">
              <w:t>……..</w:t>
            </w:r>
          </w:p>
        </w:tc>
        <w:tc>
          <w:tcPr>
            <w:tcW w:w="2137" w:type="dxa"/>
            <w:tcBorders>
              <w:top w:val="single" w:sz="4" w:space="0" w:color="auto"/>
              <w:left w:val="single" w:sz="4" w:space="0" w:color="auto"/>
              <w:bottom w:val="single" w:sz="4" w:space="0" w:color="auto"/>
              <w:right w:val="single" w:sz="4" w:space="0" w:color="auto"/>
            </w:tcBorders>
            <w:hideMark/>
          </w:tcPr>
          <w:p w:rsidR="00A36582" w:rsidP="00A36582">
            <w:r w:rsidRPr="00E75CBC">
              <w:t>……..</w:t>
            </w:r>
          </w:p>
        </w:tc>
        <w:tc>
          <w:tcPr>
            <w:tcW w:w="2589" w:type="dxa"/>
            <w:tcBorders>
              <w:top w:val="single" w:sz="4" w:space="0" w:color="auto"/>
              <w:left w:val="single" w:sz="4" w:space="0" w:color="auto"/>
              <w:bottom w:val="single" w:sz="4" w:space="0" w:color="auto"/>
              <w:right w:val="single" w:sz="4" w:space="0" w:color="auto"/>
            </w:tcBorders>
            <w:hideMark/>
          </w:tcPr>
          <w:p w:rsidR="00A36582" w:rsidP="00A36582">
            <w:r w:rsidRPr="00E75CBC">
              <w:t>……..</w:t>
            </w:r>
          </w:p>
        </w:tc>
      </w:tr>
    </w:tbl>
    <w:p w:rsidR="00365B0B" w:rsidRPr="00BC7064" w:rsidP="00365B0B">
      <w:pPr>
        <w:ind w:firstLine="708"/>
        <w:jc w:val="both"/>
        <w:rPr>
          <w:sz w:val="26"/>
          <w:szCs w:val="26"/>
        </w:rPr>
      </w:pPr>
    </w:p>
    <w:p w:rsidR="00365B0B" w:rsidRPr="00BC7064" w:rsidP="00365B0B">
      <w:pPr>
        <w:jc w:val="both"/>
        <w:rPr>
          <w:sz w:val="26"/>
          <w:szCs w:val="26"/>
        </w:rPr>
      </w:pPr>
      <w:r w:rsidRPr="00BC7064">
        <w:rPr>
          <w:sz w:val="26"/>
          <w:szCs w:val="26"/>
        </w:rPr>
        <w:t xml:space="preserve"> тем самым совершил правонарушение, предусмотренное ч. 1 ст. 15.33.2 КоАП РФ.</w:t>
      </w:r>
    </w:p>
    <w:p w:rsidR="00365B0B" w:rsidRPr="00BC7064" w:rsidP="00365B0B">
      <w:pPr>
        <w:tabs>
          <w:tab w:val="left" w:pos="9498"/>
        </w:tabs>
        <w:ind w:right="-72" w:firstLine="567"/>
        <w:jc w:val="both"/>
        <w:rPr>
          <w:sz w:val="26"/>
          <w:szCs w:val="26"/>
        </w:rPr>
      </w:pPr>
      <w:r w:rsidRPr="00BC7064">
        <w:rPr>
          <w:sz w:val="26"/>
          <w:szCs w:val="26"/>
        </w:rPr>
        <w:t xml:space="preserve"> Лицо, в отношении которого ведется производство по делу об административном правонарушении </w:t>
      </w:r>
      <w:r w:rsidRPr="00BC7064" w:rsidR="00BC7064">
        <w:rPr>
          <w:sz w:val="26"/>
          <w:szCs w:val="26"/>
        </w:rPr>
        <w:t>Микуляк</w:t>
      </w:r>
      <w:r w:rsidRPr="00BC7064" w:rsidR="00BC7064">
        <w:rPr>
          <w:sz w:val="26"/>
          <w:szCs w:val="26"/>
        </w:rPr>
        <w:t xml:space="preserve"> Р.С.</w:t>
      </w:r>
      <w:r w:rsidRPr="00BC7064">
        <w:rPr>
          <w:sz w:val="26"/>
          <w:szCs w:val="26"/>
        </w:rPr>
        <w:t xml:space="preserve"> в судебное заседание не явился, извещен надлежащим образом повесткой, причины неявки суду не известны.</w:t>
      </w:r>
    </w:p>
    <w:p w:rsidR="00365B0B" w:rsidRPr="00BC7064" w:rsidP="00365B0B">
      <w:pPr>
        <w:widowControl w:val="0"/>
        <w:suppressAutoHyphens/>
        <w:ind w:firstLine="567"/>
        <w:jc w:val="both"/>
        <w:textAlignment w:val="baseline"/>
        <w:rPr>
          <w:rFonts w:eastAsia="SimSun"/>
          <w:kern w:val="3"/>
          <w:sz w:val="26"/>
          <w:szCs w:val="26"/>
          <w:lang w:eastAsia="zh-CN" w:bidi="hi-IN"/>
        </w:rPr>
      </w:pPr>
      <w:r w:rsidRPr="00BC7064">
        <w:rPr>
          <w:rFonts w:eastAsia="SimSun"/>
          <w:kern w:val="3"/>
          <w:sz w:val="26"/>
          <w:szCs w:val="26"/>
          <w:lang w:eastAsia="zh-CN" w:bidi="hi-IN"/>
        </w:rPr>
        <w:t>Согласно ст. 25.1 КоАП РФ дело об административном правонарушении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365B0B" w:rsidRPr="00BC7064" w:rsidP="00365B0B">
      <w:pPr>
        <w:widowControl w:val="0"/>
        <w:suppressAutoHyphens/>
        <w:ind w:firstLine="567"/>
        <w:jc w:val="both"/>
        <w:textAlignment w:val="baseline"/>
        <w:rPr>
          <w:rFonts w:eastAsia="SimSun"/>
          <w:kern w:val="3"/>
          <w:sz w:val="26"/>
          <w:szCs w:val="26"/>
          <w:lang w:eastAsia="zh-CN" w:bidi="hi-IN"/>
        </w:rPr>
      </w:pPr>
      <w:r w:rsidRPr="00BC7064">
        <w:rPr>
          <w:rFonts w:eastAsia="SimSun"/>
          <w:kern w:val="3"/>
          <w:sz w:val="26"/>
          <w:szCs w:val="26"/>
          <w:lang w:eastAsia="zh-CN" w:bidi="hi-IN"/>
        </w:rPr>
        <w:t xml:space="preserve">   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 </w:t>
      </w:r>
      <w:r w:rsidRPr="00BC7064">
        <w:rPr>
          <w:rFonts w:eastAsia="SimSun"/>
          <w:spacing w:val="-1"/>
          <w:kern w:val="3"/>
          <w:sz w:val="26"/>
          <w:szCs w:val="26"/>
          <w:lang w:eastAsia="zh-CN" w:bidi="hi-IN"/>
        </w:rPr>
        <w:t>подлежащего привлечению к административной ответственности, суд считает</w:t>
      </w:r>
      <w:r w:rsidRPr="00BC7064">
        <w:rPr>
          <w:rFonts w:eastAsia="SimSun"/>
          <w:kern w:val="3"/>
          <w:sz w:val="26"/>
          <w:szCs w:val="26"/>
          <w:lang w:eastAsia="zh-CN" w:bidi="hi-IN"/>
        </w:rPr>
        <w:t xml:space="preserve"> возможным рассмотрение дела в отсутствие лица, привлекаемого к административной ответственности, по имеющимся в деле материалам.</w:t>
      </w:r>
    </w:p>
    <w:p w:rsidR="00365B0B" w:rsidRPr="00BC7064" w:rsidP="00365B0B">
      <w:pPr>
        <w:ind w:firstLine="567"/>
        <w:jc w:val="both"/>
        <w:rPr>
          <w:sz w:val="26"/>
          <w:szCs w:val="26"/>
        </w:rPr>
      </w:pPr>
      <w:r w:rsidRPr="00BC7064">
        <w:rPr>
          <w:sz w:val="26"/>
          <w:szCs w:val="26"/>
        </w:rPr>
        <w:t>Изучив материалы дела, судья пришел к следующим выводам.</w:t>
      </w:r>
    </w:p>
    <w:p w:rsidR="00365B0B" w:rsidRPr="00BC7064" w:rsidP="00365B0B">
      <w:pPr>
        <w:tabs>
          <w:tab w:val="left" w:pos="9498"/>
        </w:tabs>
        <w:ind w:right="-72" w:firstLine="567"/>
        <w:jc w:val="both"/>
        <w:rPr>
          <w:sz w:val="26"/>
          <w:szCs w:val="26"/>
        </w:rPr>
      </w:pPr>
      <w:r w:rsidRPr="00BC7064">
        <w:rPr>
          <w:sz w:val="26"/>
          <w:szCs w:val="26"/>
        </w:rPr>
        <w:t xml:space="preserve">В соответствии с п.1 ст. 11 Федерального закона от 1 апреля 1996 г. N 27-ФЗ"Об индивидуальном (персонифицированном) учете в системе обязательного пенсионного страхования" страхователи представляют предусмотренные </w:t>
      </w:r>
      <w:hyperlink r:id="rId4" w:anchor="/document/10106192/entry/1102" w:history="1">
        <w:r w:rsidRPr="00BC7064">
          <w:rPr>
            <w:rStyle w:val="Hyperlink"/>
            <w:color w:val="auto"/>
            <w:sz w:val="26"/>
            <w:szCs w:val="26"/>
            <w:u w:val="none"/>
          </w:rPr>
          <w:t>пунктами 2 - 6</w:t>
        </w:r>
      </w:hyperlink>
      <w:r w:rsidRPr="00BC7064">
        <w:rPr>
          <w:sz w:val="26"/>
          <w:szCs w:val="26"/>
        </w:rPr>
        <w:t xml:space="preserve"> настоящей статьи сведения для индивидуального (персонифицированного) учета в органы Фонда по месту своей регистрации, а сведения, предусмотренные </w:t>
      </w:r>
      <w:hyperlink r:id="rId4" w:anchor="/document/10106192/entry/1108" w:history="1">
        <w:r w:rsidRPr="00BC7064">
          <w:rPr>
            <w:rStyle w:val="Hyperlink"/>
            <w:color w:val="auto"/>
            <w:sz w:val="26"/>
            <w:szCs w:val="26"/>
            <w:u w:val="none"/>
          </w:rPr>
          <w:t>пунктом 8</w:t>
        </w:r>
      </w:hyperlink>
      <w:r w:rsidRPr="00BC7064">
        <w:rPr>
          <w:sz w:val="26"/>
          <w:szCs w:val="26"/>
        </w:rPr>
        <w:t xml:space="preserve"> настоящей статьи, - в налоговые органы в соответствии с </w:t>
      </w:r>
      <w:hyperlink r:id="rId4" w:anchor="/document/10900200/entry/1" w:history="1">
        <w:r w:rsidRPr="00BC7064">
          <w:rPr>
            <w:rStyle w:val="Hyperlink"/>
            <w:color w:val="auto"/>
            <w:sz w:val="26"/>
            <w:szCs w:val="26"/>
            <w:u w:val="none"/>
          </w:rPr>
          <w:t>законодательством</w:t>
        </w:r>
      </w:hyperlink>
      <w:r w:rsidRPr="00BC7064">
        <w:rPr>
          <w:sz w:val="26"/>
          <w:szCs w:val="26"/>
        </w:rPr>
        <w:t xml:space="preserve"> Российской Федерации о налогах и сборах.</w:t>
      </w:r>
    </w:p>
    <w:p w:rsidR="00365B0B" w:rsidRPr="00BC7064" w:rsidP="00365B0B">
      <w:pPr>
        <w:tabs>
          <w:tab w:val="left" w:pos="9498"/>
        </w:tabs>
        <w:ind w:right="-72" w:firstLine="567"/>
        <w:jc w:val="both"/>
        <w:rPr>
          <w:sz w:val="26"/>
          <w:szCs w:val="26"/>
        </w:rPr>
      </w:pPr>
      <w:r w:rsidRPr="00BC7064">
        <w:rPr>
          <w:sz w:val="26"/>
          <w:szCs w:val="26"/>
        </w:rPr>
        <w:t xml:space="preserve">Согласно пункту 6 статьи 11 Федерального закона от 1 апреля 1996 г. N 27-ФЗ"Об индивидуальном (персонифицированном) учете в системе обязательного пенсионного страхования" сведения, указанные в </w:t>
      </w:r>
      <w:hyperlink r:id="rId4" w:anchor="/document/10106192/entry/1125" w:history="1">
        <w:r w:rsidRPr="00BC7064">
          <w:rPr>
            <w:rStyle w:val="Hyperlink"/>
            <w:color w:val="auto"/>
            <w:sz w:val="26"/>
            <w:szCs w:val="26"/>
            <w:u w:val="none"/>
          </w:rPr>
          <w:t>подпункте 5 пункта 2</w:t>
        </w:r>
      </w:hyperlink>
      <w:r w:rsidRPr="00BC7064">
        <w:rPr>
          <w:sz w:val="26"/>
          <w:szCs w:val="26"/>
        </w:rPr>
        <w:t xml:space="preserve"> (в случаях приема на работу, приостановления и возобновления действия трудового договора в соответствии со </w:t>
      </w:r>
      <w:hyperlink r:id="rId4" w:anchor="/document/12125268/entry/3517" w:history="1">
        <w:r w:rsidRPr="00BC7064">
          <w:rPr>
            <w:rStyle w:val="Hyperlink"/>
            <w:color w:val="auto"/>
            <w:sz w:val="26"/>
            <w:szCs w:val="26"/>
            <w:u w:val="none"/>
          </w:rPr>
          <w:t>статьей 351.7</w:t>
        </w:r>
      </w:hyperlink>
      <w:r w:rsidRPr="00BC7064">
        <w:rPr>
          <w:sz w:val="26"/>
          <w:szCs w:val="26"/>
        </w:rPr>
        <w:t xml:space="preserve"> Трудового кодекса Российской Федерации, увольнения зарегистрированного лица - не позднее рабочего дня, следующего за днем издания приказа (распоряжения), иного документа, принятия решения, которые подтверждают оформление, приостановление, возобновление или прекращение трудовых отношений) настоящей статьи, представляются не позднее рабочего дня, следующего за днем заключения с </w:t>
      </w:r>
      <w:hyperlink r:id="rId4" w:anchor="/document/10106192/entry/102" w:history="1">
        <w:r w:rsidRPr="00BC7064">
          <w:rPr>
            <w:rStyle w:val="Hyperlink"/>
            <w:color w:val="auto"/>
            <w:sz w:val="26"/>
            <w:szCs w:val="26"/>
            <w:u w:val="none"/>
          </w:rPr>
          <w:t>застрахованным лицом</w:t>
        </w:r>
      </w:hyperlink>
      <w:r w:rsidRPr="00BC7064">
        <w:rPr>
          <w:sz w:val="26"/>
          <w:szCs w:val="26"/>
        </w:rPr>
        <w:t xml:space="preserve"> соответствующего договора, а в случае прекращения договора не позднее рабочего дня, следующего за днем его прекращения.</w:t>
      </w:r>
    </w:p>
    <w:p w:rsidR="00365B0B" w:rsidRPr="00BC7064" w:rsidP="00365B0B">
      <w:pPr>
        <w:suppressAutoHyphens/>
        <w:jc w:val="both"/>
        <w:rPr>
          <w:sz w:val="26"/>
          <w:szCs w:val="26"/>
        </w:rPr>
      </w:pPr>
      <w:r w:rsidRPr="00BC7064">
        <w:rPr>
          <w:sz w:val="26"/>
          <w:szCs w:val="26"/>
        </w:rPr>
        <w:t xml:space="preserve">          В обоснование виновности </w:t>
      </w:r>
      <w:r w:rsidRPr="00BC7064" w:rsidR="00BC7064">
        <w:rPr>
          <w:sz w:val="26"/>
          <w:szCs w:val="26"/>
        </w:rPr>
        <w:t>Микуляк</w:t>
      </w:r>
      <w:r w:rsidRPr="00BC7064" w:rsidR="00BC7064">
        <w:rPr>
          <w:sz w:val="26"/>
          <w:szCs w:val="26"/>
        </w:rPr>
        <w:t xml:space="preserve"> Р.С.</w:t>
      </w:r>
      <w:r w:rsidRPr="00BC7064">
        <w:rPr>
          <w:sz w:val="26"/>
          <w:szCs w:val="26"/>
        </w:rPr>
        <w:t xml:space="preserve"> в инкриминируемом административном правонарушении, представлены следующие доказательства:</w:t>
      </w:r>
    </w:p>
    <w:p w:rsidR="00365B0B" w:rsidRPr="00BC7064" w:rsidP="00365B0B">
      <w:pPr>
        <w:suppressAutoHyphens/>
        <w:jc w:val="both"/>
        <w:rPr>
          <w:sz w:val="26"/>
          <w:szCs w:val="26"/>
        </w:rPr>
      </w:pPr>
      <w:r w:rsidRPr="00BC7064">
        <w:rPr>
          <w:sz w:val="26"/>
          <w:szCs w:val="26"/>
        </w:rPr>
        <w:t xml:space="preserve">- протокол об административном правонарушении № </w:t>
      </w:r>
      <w:r w:rsidRPr="00BC7064" w:rsidR="00BC7064">
        <w:rPr>
          <w:sz w:val="26"/>
          <w:szCs w:val="26"/>
        </w:rPr>
        <w:t>146/2025 от 17.03.2025</w:t>
      </w:r>
      <w:r w:rsidRPr="00BC7064">
        <w:rPr>
          <w:sz w:val="26"/>
          <w:szCs w:val="26"/>
        </w:rPr>
        <w:t xml:space="preserve"> года;</w:t>
      </w:r>
    </w:p>
    <w:p w:rsidR="00365B0B" w:rsidRPr="00BC7064" w:rsidP="00365B0B">
      <w:pPr>
        <w:suppressAutoHyphens/>
        <w:jc w:val="both"/>
        <w:rPr>
          <w:sz w:val="26"/>
          <w:szCs w:val="26"/>
        </w:rPr>
      </w:pPr>
      <w:r w:rsidRPr="00BC7064">
        <w:rPr>
          <w:sz w:val="26"/>
          <w:szCs w:val="26"/>
        </w:rPr>
        <w:t>- форма ЕФС-1 по обращению;</w:t>
      </w:r>
    </w:p>
    <w:p w:rsidR="00365B0B" w:rsidRPr="00BC7064" w:rsidP="00365B0B">
      <w:pPr>
        <w:suppressAutoHyphens/>
        <w:jc w:val="both"/>
        <w:rPr>
          <w:sz w:val="26"/>
          <w:szCs w:val="26"/>
        </w:rPr>
      </w:pPr>
      <w:r w:rsidRPr="00BC7064">
        <w:rPr>
          <w:sz w:val="26"/>
          <w:szCs w:val="26"/>
        </w:rPr>
        <w:t xml:space="preserve">- акт о выявлении правонарушения в сфере законодательства РФ об индивидуальном (персонифицированном) учете в системе обязательного пенсионного страхования от </w:t>
      </w:r>
      <w:r w:rsidRPr="00BC7064" w:rsidR="00BC7064">
        <w:rPr>
          <w:sz w:val="26"/>
          <w:szCs w:val="26"/>
        </w:rPr>
        <w:t>16.01.2025</w:t>
      </w:r>
      <w:r w:rsidRPr="00BC7064">
        <w:rPr>
          <w:sz w:val="26"/>
          <w:szCs w:val="26"/>
        </w:rPr>
        <w:t>.;</w:t>
      </w:r>
      <w:r w:rsidRPr="00BC7064">
        <w:rPr>
          <w:sz w:val="26"/>
          <w:szCs w:val="26"/>
        </w:rPr>
        <w:t xml:space="preserve"> </w:t>
      </w:r>
    </w:p>
    <w:p w:rsidR="00365B0B" w:rsidRPr="00BC7064" w:rsidP="00365B0B">
      <w:pPr>
        <w:suppressAutoHyphens/>
        <w:jc w:val="both"/>
        <w:rPr>
          <w:sz w:val="26"/>
          <w:szCs w:val="26"/>
        </w:rPr>
      </w:pPr>
      <w:r w:rsidRPr="00BC7064">
        <w:rPr>
          <w:sz w:val="26"/>
          <w:szCs w:val="26"/>
        </w:rPr>
        <w:t>- копия выписки и ЕГРЮЛ;</w:t>
      </w:r>
    </w:p>
    <w:p w:rsidR="00365B0B" w:rsidRPr="00BC7064" w:rsidP="00365B0B">
      <w:pPr>
        <w:jc w:val="both"/>
        <w:rPr>
          <w:sz w:val="26"/>
          <w:szCs w:val="26"/>
        </w:rPr>
      </w:pPr>
      <w:r w:rsidRPr="00BC7064">
        <w:rPr>
          <w:sz w:val="26"/>
          <w:szCs w:val="26"/>
        </w:rPr>
        <w:t xml:space="preserve">- копия должностной инструкции </w:t>
      </w:r>
      <w:r w:rsidRPr="00BC7064" w:rsidR="00BC7064">
        <w:rPr>
          <w:sz w:val="26"/>
          <w:szCs w:val="26"/>
        </w:rPr>
        <w:t>Микуляк</w:t>
      </w:r>
      <w:r w:rsidRPr="00BC7064" w:rsidR="00BC7064">
        <w:rPr>
          <w:sz w:val="26"/>
          <w:szCs w:val="26"/>
        </w:rPr>
        <w:t xml:space="preserve"> Р.С.</w:t>
      </w:r>
      <w:r w:rsidRPr="00BC7064">
        <w:rPr>
          <w:sz w:val="26"/>
          <w:szCs w:val="26"/>
        </w:rPr>
        <w:t xml:space="preserve"> от 01.12.2018; </w:t>
      </w:r>
    </w:p>
    <w:p w:rsidR="00365B0B" w:rsidRPr="00BC7064" w:rsidP="00365B0B">
      <w:pPr>
        <w:jc w:val="both"/>
        <w:rPr>
          <w:sz w:val="26"/>
          <w:szCs w:val="26"/>
        </w:rPr>
      </w:pPr>
      <w:r w:rsidRPr="00BC7064">
        <w:rPr>
          <w:sz w:val="26"/>
          <w:szCs w:val="26"/>
        </w:rPr>
        <w:t xml:space="preserve">- копия приказа № 2524-К о назначении ответственного за сдачу отчетов от 30.12.2022; </w:t>
      </w:r>
    </w:p>
    <w:p w:rsidR="00365B0B" w:rsidRPr="00BC7064" w:rsidP="00365B0B">
      <w:pPr>
        <w:jc w:val="both"/>
        <w:rPr>
          <w:sz w:val="26"/>
          <w:szCs w:val="26"/>
        </w:rPr>
      </w:pPr>
      <w:r w:rsidRPr="00BC7064">
        <w:rPr>
          <w:sz w:val="26"/>
          <w:szCs w:val="26"/>
        </w:rPr>
        <w:t>- квитанция о регистрации обращения;</w:t>
      </w:r>
    </w:p>
    <w:p w:rsidR="00365B0B" w:rsidRPr="00BC7064" w:rsidP="00365B0B">
      <w:pPr>
        <w:jc w:val="both"/>
        <w:rPr>
          <w:sz w:val="26"/>
          <w:szCs w:val="26"/>
        </w:rPr>
      </w:pPr>
      <w:r w:rsidRPr="00BC7064">
        <w:rPr>
          <w:sz w:val="26"/>
          <w:szCs w:val="26"/>
        </w:rPr>
        <w:t>- протокол проверки отчетности.</w:t>
      </w:r>
    </w:p>
    <w:p w:rsidR="00365B0B" w:rsidRPr="00BC7064" w:rsidP="00365B0B">
      <w:pPr>
        <w:ind w:firstLine="708"/>
        <w:jc w:val="both"/>
        <w:outlineLvl w:val="1"/>
        <w:rPr>
          <w:sz w:val="26"/>
          <w:szCs w:val="26"/>
        </w:rPr>
      </w:pPr>
      <w:r w:rsidRPr="00BC7064">
        <w:rPr>
          <w:sz w:val="26"/>
          <w:szCs w:val="26"/>
        </w:rPr>
        <w:t xml:space="preserve">Все указанные доказательства оценены судом в соответствии с правилами статьей 26.11 КоАП РФ и признаются судом допустимыми, достоверными и достаточными для вывода о наличии в действиях </w:t>
      </w:r>
      <w:r w:rsidRPr="00BC7064" w:rsidR="00BC7064">
        <w:rPr>
          <w:sz w:val="26"/>
          <w:szCs w:val="26"/>
        </w:rPr>
        <w:t>Микуляк</w:t>
      </w:r>
      <w:r w:rsidRPr="00BC7064" w:rsidR="00BC7064">
        <w:rPr>
          <w:sz w:val="26"/>
          <w:szCs w:val="26"/>
        </w:rPr>
        <w:t xml:space="preserve"> Р.С.</w:t>
      </w:r>
      <w:r w:rsidRPr="00BC7064">
        <w:rPr>
          <w:sz w:val="26"/>
          <w:szCs w:val="26"/>
        </w:rPr>
        <w:t xml:space="preserve"> состава вменяемого административного правонарушения.</w:t>
      </w:r>
    </w:p>
    <w:p w:rsidR="00365B0B" w:rsidRPr="00BC7064" w:rsidP="00365B0B">
      <w:pPr>
        <w:ind w:firstLine="708"/>
        <w:jc w:val="both"/>
        <w:rPr>
          <w:sz w:val="26"/>
          <w:szCs w:val="26"/>
        </w:rPr>
      </w:pPr>
      <w:r w:rsidRPr="00BC7064">
        <w:rPr>
          <w:sz w:val="26"/>
          <w:szCs w:val="26"/>
        </w:rPr>
        <w:t>Срок давности привлечения к административной ответственности не истек, протокол об административном правонарушении и другие материалы дела составлены правомочным лицом в соответствии с требованиями закона. Нарушений порядка привлечения физического лица к административной ответственности судом не установлено.</w:t>
      </w:r>
    </w:p>
    <w:p w:rsidR="00365B0B" w:rsidRPr="00BC7064" w:rsidP="00365B0B">
      <w:pPr>
        <w:ind w:firstLine="567"/>
        <w:jc w:val="both"/>
        <w:rPr>
          <w:sz w:val="26"/>
          <w:szCs w:val="26"/>
        </w:rPr>
      </w:pPr>
      <w:r w:rsidRPr="00BC7064">
        <w:rPr>
          <w:sz w:val="26"/>
          <w:szCs w:val="26"/>
        </w:rPr>
        <w:t xml:space="preserve">Действия </w:t>
      </w:r>
      <w:r w:rsidRPr="00BC7064" w:rsidR="00BC7064">
        <w:rPr>
          <w:sz w:val="26"/>
          <w:szCs w:val="26"/>
        </w:rPr>
        <w:t>Микуляк</w:t>
      </w:r>
      <w:r w:rsidRPr="00BC7064" w:rsidR="00BC7064">
        <w:rPr>
          <w:sz w:val="26"/>
          <w:szCs w:val="26"/>
        </w:rPr>
        <w:t xml:space="preserve"> Р.С.</w:t>
      </w:r>
      <w:r w:rsidRPr="00BC7064">
        <w:rPr>
          <w:sz w:val="26"/>
          <w:szCs w:val="26"/>
        </w:rPr>
        <w:t xml:space="preserve"> судья квалифицирует по части 1 статьи 15.33.2 Кодекса РФ об административных правонарушениях – Непредставление в установленный </w:t>
      </w:r>
      <w:hyperlink r:id="rId4" w:anchor="/document/10106192/entry/8" w:history="1">
        <w:r w:rsidRPr="00BC7064">
          <w:rPr>
            <w:rStyle w:val="Hyperlink"/>
            <w:color w:val="auto"/>
            <w:sz w:val="26"/>
            <w:szCs w:val="26"/>
          </w:rPr>
          <w:t>законодательством</w:t>
        </w:r>
      </w:hyperlink>
      <w:r w:rsidRPr="00BC7064">
        <w:rPr>
          <w:sz w:val="26"/>
          <w:szCs w:val="26"/>
        </w:rP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а </w:t>
      </w:r>
      <w:r w:rsidRPr="00BC7064">
        <w:rPr>
          <w:sz w:val="26"/>
          <w:szCs w:val="26"/>
        </w:rPr>
        <w:t xml:space="preserve">равно представление таких сведений в неполном объеме или в искаженном виде, за исключением случаев, предусмотренных </w:t>
      </w:r>
      <w:hyperlink r:id="rId4" w:anchor="/document/12125267/entry/1533202" w:history="1">
        <w:r w:rsidRPr="00BC7064">
          <w:rPr>
            <w:rStyle w:val="Hyperlink"/>
            <w:color w:val="auto"/>
            <w:sz w:val="26"/>
            <w:szCs w:val="26"/>
          </w:rPr>
          <w:t>частью 2</w:t>
        </w:r>
      </w:hyperlink>
      <w:r w:rsidRPr="00BC7064">
        <w:rPr>
          <w:sz w:val="26"/>
          <w:szCs w:val="26"/>
        </w:rPr>
        <w:t xml:space="preserve"> настоящей статьи.</w:t>
      </w:r>
    </w:p>
    <w:p w:rsidR="00365B0B" w:rsidRPr="00BC7064" w:rsidP="00365B0B">
      <w:pPr>
        <w:ind w:firstLine="708"/>
        <w:jc w:val="both"/>
        <w:rPr>
          <w:sz w:val="26"/>
          <w:szCs w:val="26"/>
        </w:rPr>
      </w:pPr>
      <w:r w:rsidRPr="00BC7064">
        <w:rPr>
          <w:sz w:val="26"/>
          <w:szCs w:val="26"/>
        </w:rPr>
        <w:t>Обстоятельств, смягчающих административную ответственность, предусмотренных статьей 4.2 КоАП РФ, судом не установлено.</w:t>
      </w:r>
    </w:p>
    <w:p w:rsidR="00365B0B" w:rsidRPr="00BC7064" w:rsidP="00365B0B">
      <w:pPr>
        <w:ind w:firstLine="708"/>
        <w:jc w:val="both"/>
        <w:rPr>
          <w:sz w:val="26"/>
          <w:szCs w:val="26"/>
        </w:rPr>
      </w:pPr>
      <w:r w:rsidRPr="00BC7064">
        <w:rPr>
          <w:sz w:val="26"/>
          <w:szCs w:val="26"/>
        </w:rPr>
        <w:t xml:space="preserve">Обстоятельств, отягчающих административную ответственность, судом, в соответствии со статьей 4.3 КоАП РФ, судом не установлено. </w:t>
      </w:r>
    </w:p>
    <w:p w:rsidR="00365B0B" w:rsidRPr="00BC7064" w:rsidP="00365B0B">
      <w:pPr>
        <w:ind w:firstLine="708"/>
        <w:jc w:val="both"/>
        <w:rPr>
          <w:sz w:val="26"/>
          <w:szCs w:val="26"/>
        </w:rPr>
      </w:pPr>
      <w:r w:rsidRPr="00BC7064">
        <w:rPr>
          <w:sz w:val="26"/>
          <w:szCs w:val="26"/>
        </w:rPr>
        <w:t>Обстоятельства, исключающие производство по делу об административном правонарушении и указанные в статье 24.5 КоАП РФ, а также обстоятельства, предусмотренные статьей 29.2 КоАП РФ, исключающие возможность рассмотрения дела, судом не установлены.</w:t>
      </w:r>
    </w:p>
    <w:p w:rsidR="00402D0A" w:rsidRPr="00BC7064" w:rsidP="00402D0A">
      <w:pPr>
        <w:ind w:firstLine="708"/>
        <w:jc w:val="both"/>
        <w:rPr>
          <w:sz w:val="26"/>
          <w:szCs w:val="26"/>
        </w:rPr>
      </w:pPr>
      <w:r w:rsidRPr="00BC7064">
        <w:rPr>
          <w:sz w:val="26"/>
          <w:szCs w:val="26"/>
        </w:rPr>
        <w:t>Согласно статье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402D0A" w:rsidRPr="00BC7064" w:rsidP="00402D0A">
      <w:pPr>
        <w:ind w:firstLine="708"/>
        <w:jc w:val="both"/>
        <w:rPr>
          <w:sz w:val="26"/>
          <w:szCs w:val="26"/>
        </w:rPr>
      </w:pPr>
      <w:r w:rsidRPr="00BC7064">
        <w:rPr>
          <w:sz w:val="26"/>
          <w:szCs w:val="26"/>
        </w:rPr>
        <w:t xml:space="preserve">Конкретные обстоятельства, связанные с совершением административного правонарушения, подлежат оценке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w:t>
      </w:r>
    </w:p>
    <w:p w:rsidR="00402D0A" w:rsidRPr="00BC7064" w:rsidP="00402D0A">
      <w:pPr>
        <w:ind w:firstLine="708"/>
        <w:jc w:val="both"/>
        <w:rPr>
          <w:sz w:val="26"/>
          <w:szCs w:val="26"/>
        </w:rPr>
      </w:pPr>
      <w:r w:rsidRPr="00BC7064">
        <w:rPr>
          <w:sz w:val="26"/>
          <w:szCs w:val="26"/>
        </w:rPr>
        <w:t xml:space="preserve">При обсуждении вопроса о назначении вида и размера наказания, суд, в соответствии с частью 2 статьи 4.1 КоАП РФ, учитывает характер совершенного административного правонарушения, личность </w:t>
      </w:r>
      <w:r w:rsidRPr="00BC7064" w:rsidR="00BC7064">
        <w:rPr>
          <w:sz w:val="26"/>
          <w:szCs w:val="26"/>
        </w:rPr>
        <w:t>Микуляк</w:t>
      </w:r>
      <w:r w:rsidRPr="00BC7064" w:rsidR="00BC7064">
        <w:rPr>
          <w:sz w:val="26"/>
          <w:szCs w:val="26"/>
        </w:rPr>
        <w:t xml:space="preserve"> Р.С.</w:t>
      </w:r>
      <w:r w:rsidRPr="00BC7064">
        <w:rPr>
          <w:sz w:val="26"/>
          <w:szCs w:val="26"/>
        </w:rPr>
        <w:t xml:space="preserve">, его имущественное положение, обстоятельства, смягчающие и отягчающие административную ответственность, обстоятельства совершения административного правонарушения, и полагает необходимым назначить </w:t>
      </w:r>
      <w:r w:rsidRPr="00BC7064" w:rsidR="00BC7064">
        <w:rPr>
          <w:sz w:val="26"/>
          <w:szCs w:val="26"/>
        </w:rPr>
        <w:t>Микуляк</w:t>
      </w:r>
      <w:r w:rsidRPr="00BC7064" w:rsidR="00BC7064">
        <w:rPr>
          <w:sz w:val="26"/>
          <w:szCs w:val="26"/>
        </w:rPr>
        <w:t xml:space="preserve"> Р.С.</w:t>
      </w:r>
      <w:r w:rsidRPr="00BC7064">
        <w:rPr>
          <w:sz w:val="26"/>
          <w:szCs w:val="26"/>
        </w:rPr>
        <w:t xml:space="preserve"> административное наказание в виде административного штрафа, поскольку данный вид наказания является справедливым и соразмерным содеянному.</w:t>
      </w:r>
    </w:p>
    <w:p w:rsidR="00402D0A" w:rsidRPr="00BC7064" w:rsidP="00402D0A">
      <w:pPr>
        <w:ind w:firstLine="708"/>
        <w:jc w:val="both"/>
        <w:rPr>
          <w:sz w:val="26"/>
          <w:szCs w:val="26"/>
        </w:rPr>
      </w:pPr>
      <w:r w:rsidRPr="00BC7064">
        <w:rPr>
          <w:sz w:val="26"/>
          <w:szCs w:val="26"/>
        </w:rPr>
        <w:t>На основании изложенного и руководствуясь статьями 29.9, 29.10 Кодекса Российской Федерации об административных правонарушениях, суд</w:t>
      </w:r>
    </w:p>
    <w:p w:rsidR="00402D0A" w:rsidRPr="00BC7064" w:rsidP="00402D0A">
      <w:pPr>
        <w:jc w:val="center"/>
        <w:rPr>
          <w:sz w:val="26"/>
          <w:szCs w:val="26"/>
        </w:rPr>
      </w:pPr>
    </w:p>
    <w:p w:rsidR="00402D0A" w:rsidRPr="00BC7064" w:rsidP="00402D0A">
      <w:pPr>
        <w:jc w:val="center"/>
        <w:rPr>
          <w:sz w:val="26"/>
          <w:szCs w:val="26"/>
        </w:rPr>
      </w:pPr>
      <w:r w:rsidRPr="00BC7064">
        <w:rPr>
          <w:sz w:val="26"/>
          <w:szCs w:val="26"/>
        </w:rPr>
        <w:t>постановил:</w:t>
      </w:r>
    </w:p>
    <w:p w:rsidR="00402D0A" w:rsidRPr="00BC7064" w:rsidP="00402D0A">
      <w:pPr>
        <w:jc w:val="center"/>
        <w:rPr>
          <w:sz w:val="26"/>
          <w:szCs w:val="26"/>
        </w:rPr>
      </w:pPr>
    </w:p>
    <w:p w:rsidR="00402D0A" w:rsidRPr="00BC7064" w:rsidP="00402D0A">
      <w:pPr>
        <w:ind w:firstLine="708"/>
        <w:jc w:val="both"/>
        <w:rPr>
          <w:sz w:val="26"/>
          <w:szCs w:val="26"/>
        </w:rPr>
      </w:pPr>
      <w:r w:rsidRPr="00BC7064">
        <w:rPr>
          <w:sz w:val="26"/>
          <w:szCs w:val="26"/>
        </w:rPr>
        <w:t xml:space="preserve">признать должностное лицо </w:t>
      </w:r>
      <w:r w:rsidRPr="00BC7064" w:rsidR="00BC7064">
        <w:rPr>
          <w:sz w:val="26"/>
          <w:szCs w:val="26"/>
        </w:rPr>
        <w:t>Микуляк</w:t>
      </w:r>
      <w:r w:rsidRPr="00BC7064" w:rsidR="00BC7064">
        <w:rPr>
          <w:sz w:val="26"/>
          <w:szCs w:val="26"/>
        </w:rPr>
        <w:t xml:space="preserve"> Романа Степановича</w:t>
      </w:r>
      <w:r w:rsidRPr="00BC7064">
        <w:rPr>
          <w:sz w:val="26"/>
          <w:szCs w:val="26"/>
        </w:rPr>
        <w:t xml:space="preserve"> виновным в совершении административного правонарушения, предусмотренного частью 1 статьи 15.33.2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Pr="00BC7064" w:rsidR="00BC7064">
        <w:rPr>
          <w:sz w:val="26"/>
          <w:szCs w:val="26"/>
        </w:rPr>
        <w:t>5</w:t>
      </w:r>
      <w:r w:rsidRPr="00BC7064">
        <w:rPr>
          <w:sz w:val="26"/>
          <w:szCs w:val="26"/>
        </w:rPr>
        <w:t>00 (</w:t>
      </w:r>
      <w:r w:rsidRPr="00BC7064" w:rsidR="00BC7064">
        <w:rPr>
          <w:sz w:val="26"/>
          <w:szCs w:val="26"/>
        </w:rPr>
        <w:t>пятьсот</w:t>
      </w:r>
      <w:r w:rsidRPr="00BC7064">
        <w:rPr>
          <w:sz w:val="26"/>
          <w:szCs w:val="26"/>
        </w:rPr>
        <w:t>) рублей.</w:t>
      </w:r>
    </w:p>
    <w:p w:rsidR="00402D0A" w:rsidRPr="00BC7064" w:rsidP="00402D0A">
      <w:pPr>
        <w:ind w:firstLine="708"/>
        <w:jc w:val="both"/>
        <w:rPr>
          <w:sz w:val="26"/>
          <w:szCs w:val="26"/>
        </w:rPr>
      </w:pPr>
      <w:r w:rsidRPr="00BC7064">
        <w:rPr>
          <w:sz w:val="26"/>
          <w:szCs w:val="26"/>
        </w:rPr>
        <w:t>Административный штраф перечислять по следующим реквизитам: Банк получателя РКЦ г. Ханты-Мансийск, Получатель:</w:t>
      </w:r>
      <w:r w:rsidRPr="00BC7064">
        <w:rPr>
          <w:bCs/>
          <w:sz w:val="26"/>
          <w:szCs w:val="26"/>
        </w:rPr>
        <w:t xml:space="preserve"> </w:t>
      </w:r>
      <w:r w:rsidRPr="00BC7064">
        <w:rPr>
          <w:sz w:val="26"/>
          <w:szCs w:val="26"/>
        </w:rPr>
        <w:t xml:space="preserve">УФК по Ханты-Мансийскому автономному округу – Югре г. Ханты-Мансийск (ОСФР по ХМАО-Югре, л/с 04874Ф87010), </w:t>
      </w:r>
      <w:r w:rsidRPr="00BC7064">
        <w:rPr>
          <w:sz w:val="26"/>
          <w:szCs w:val="26"/>
        </w:rPr>
        <w:t>кор</w:t>
      </w:r>
      <w:r w:rsidRPr="00BC7064">
        <w:rPr>
          <w:sz w:val="26"/>
          <w:szCs w:val="26"/>
        </w:rPr>
        <w:t>. счет № 40102810245370000007, ИНН 8601002078, КПП 860101001, БИК ТОФК 007162163, ОКТМО 71876000 (город Сургут), р/счет - 03100643000000018700, КБК 79711601230060001140</w:t>
      </w:r>
      <w:r w:rsidRPr="00BC7064" w:rsidR="00BC7064">
        <w:rPr>
          <w:sz w:val="26"/>
          <w:szCs w:val="26"/>
        </w:rPr>
        <w:t xml:space="preserve"> УИН 79702700000000265402</w:t>
      </w:r>
      <w:r w:rsidRPr="00BC7064">
        <w:rPr>
          <w:sz w:val="26"/>
          <w:szCs w:val="26"/>
        </w:rPr>
        <w:t>.</w:t>
      </w:r>
    </w:p>
    <w:p w:rsidR="00402D0A" w:rsidRPr="00BC7064" w:rsidP="00402D0A">
      <w:pPr>
        <w:ind w:firstLine="708"/>
        <w:jc w:val="both"/>
        <w:rPr>
          <w:sz w:val="26"/>
          <w:szCs w:val="26"/>
        </w:rPr>
      </w:pPr>
      <w:r w:rsidRPr="00BC7064">
        <w:rPr>
          <w:sz w:val="26"/>
          <w:szCs w:val="26"/>
        </w:rPr>
        <w:t xml:space="preserve">Постановление может быть обжаловано в </w:t>
      </w:r>
      <w:r w:rsidRPr="00BC7064">
        <w:rPr>
          <w:sz w:val="26"/>
          <w:szCs w:val="26"/>
        </w:rPr>
        <w:t>Сургутский</w:t>
      </w:r>
      <w:r w:rsidRPr="00BC7064">
        <w:rPr>
          <w:sz w:val="26"/>
          <w:szCs w:val="26"/>
        </w:rPr>
        <w:t xml:space="preserve"> городской суд Ханты-Мансийского автономного округа-Югры в течение 10 </w:t>
      </w:r>
      <w:r w:rsidRPr="00BC7064" w:rsidR="00BC7064">
        <w:rPr>
          <w:sz w:val="26"/>
          <w:szCs w:val="26"/>
        </w:rPr>
        <w:t>дней</w:t>
      </w:r>
      <w:r w:rsidRPr="00BC7064">
        <w:rPr>
          <w:sz w:val="26"/>
          <w:szCs w:val="26"/>
        </w:rPr>
        <w:t xml:space="preserve"> со дня вручения или получения копии постановления с подачей жалобы </w:t>
      </w:r>
      <w:r w:rsidRPr="00BC7064">
        <w:rPr>
          <w:sz w:val="26"/>
          <w:szCs w:val="26"/>
        </w:rPr>
        <w:t>через мирового судью</w:t>
      </w:r>
      <w:r w:rsidRPr="00BC7064">
        <w:rPr>
          <w:sz w:val="26"/>
          <w:szCs w:val="26"/>
        </w:rPr>
        <w:t xml:space="preserve"> судебного участка № 7 </w:t>
      </w:r>
      <w:r w:rsidRPr="00BC7064">
        <w:rPr>
          <w:sz w:val="26"/>
          <w:szCs w:val="26"/>
        </w:rPr>
        <w:t>Сургутского</w:t>
      </w:r>
      <w:r w:rsidRPr="00BC7064">
        <w:rPr>
          <w:sz w:val="26"/>
          <w:szCs w:val="26"/>
        </w:rPr>
        <w:t xml:space="preserve"> судебного района города окружного значения Сургута Ханты-Мансийского автономного округа – Югры.</w:t>
      </w:r>
    </w:p>
    <w:p w:rsidR="00402D0A" w:rsidRPr="00BC7064" w:rsidP="00402D0A">
      <w:pPr>
        <w:ind w:firstLine="708"/>
        <w:jc w:val="both"/>
        <w:rPr>
          <w:sz w:val="26"/>
          <w:szCs w:val="26"/>
        </w:rPr>
      </w:pPr>
    </w:p>
    <w:p w:rsidR="00402D0A" w:rsidRPr="00BC7064" w:rsidP="00402D0A">
      <w:pPr>
        <w:ind w:firstLine="708"/>
        <w:rPr>
          <w:sz w:val="26"/>
          <w:szCs w:val="26"/>
        </w:rPr>
      </w:pPr>
      <w:r w:rsidRPr="00BC7064">
        <w:rPr>
          <w:sz w:val="26"/>
          <w:szCs w:val="26"/>
        </w:rPr>
        <w:t>Мировой судья</w:t>
      </w:r>
      <w:r w:rsidRPr="00BC7064">
        <w:rPr>
          <w:sz w:val="26"/>
          <w:szCs w:val="26"/>
        </w:rPr>
        <w:tab/>
      </w:r>
      <w:r w:rsidRPr="00BC7064">
        <w:rPr>
          <w:sz w:val="26"/>
          <w:szCs w:val="26"/>
        </w:rPr>
        <w:tab/>
      </w:r>
      <w:r w:rsidRPr="00BC7064">
        <w:rPr>
          <w:sz w:val="26"/>
          <w:szCs w:val="26"/>
        </w:rPr>
        <w:tab/>
        <w:t>подпись</w:t>
      </w:r>
      <w:r w:rsidRPr="00BC7064">
        <w:rPr>
          <w:sz w:val="26"/>
          <w:szCs w:val="26"/>
        </w:rPr>
        <w:tab/>
      </w:r>
      <w:r w:rsidRPr="00BC7064">
        <w:rPr>
          <w:sz w:val="26"/>
          <w:szCs w:val="26"/>
        </w:rPr>
        <w:tab/>
      </w:r>
      <w:r w:rsidRPr="00BC7064">
        <w:rPr>
          <w:sz w:val="26"/>
          <w:szCs w:val="26"/>
        </w:rPr>
        <w:tab/>
        <w:t xml:space="preserve"> Т.И. </w:t>
      </w:r>
      <w:r w:rsidRPr="00BC7064">
        <w:rPr>
          <w:sz w:val="26"/>
          <w:szCs w:val="26"/>
        </w:rPr>
        <w:t>Зиннурова</w:t>
      </w:r>
    </w:p>
    <w:p w:rsidR="00402D0A" w:rsidRPr="00BC7064" w:rsidP="00402D0A">
      <w:pPr>
        <w:pStyle w:val="NormalWeb"/>
        <w:spacing w:before="0" w:after="0"/>
        <w:ind w:firstLine="720"/>
        <w:jc w:val="both"/>
        <w:rPr>
          <w:sz w:val="26"/>
          <w:szCs w:val="26"/>
        </w:rPr>
      </w:pPr>
      <w:r w:rsidRPr="00BC7064">
        <w:rPr>
          <w:sz w:val="26"/>
          <w:szCs w:val="26"/>
        </w:rPr>
        <w:t xml:space="preserve">КОПИЯ ВЕРНА </w:t>
      </w:r>
      <w:r w:rsidRPr="00BC7064" w:rsidR="00BC7064">
        <w:rPr>
          <w:sz w:val="26"/>
          <w:szCs w:val="26"/>
        </w:rPr>
        <w:t>16 апреля 2025</w:t>
      </w:r>
      <w:r w:rsidRPr="00BC7064">
        <w:rPr>
          <w:sz w:val="26"/>
          <w:szCs w:val="26"/>
        </w:rPr>
        <w:t xml:space="preserve"> года.</w:t>
      </w:r>
    </w:p>
    <w:p w:rsidR="00402D0A" w:rsidRPr="00BC7064" w:rsidP="00402D0A">
      <w:pPr>
        <w:pStyle w:val="NormalWeb"/>
        <w:spacing w:before="0" w:after="0"/>
        <w:ind w:firstLine="720"/>
        <w:jc w:val="both"/>
        <w:rPr>
          <w:sz w:val="26"/>
          <w:szCs w:val="26"/>
        </w:rPr>
      </w:pPr>
      <w:r w:rsidRPr="00BC7064">
        <w:rPr>
          <w:sz w:val="26"/>
          <w:szCs w:val="26"/>
        </w:rPr>
        <w:t>И.о</w:t>
      </w:r>
      <w:r w:rsidRPr="00BC7064">
        <w:rPr>
          <w:sz w:val="26"/>
          <w:szCs w:val="26"/>
        </w:rPr>
        <w:t xml:space="preserve">. мирового судьи судебного участка №7 </w:t>
      </w:r>
      <w:r w:rsidRPr="00BC7064">
        <w:rPr>
          <w:sz w:val="26"/>
          <w:szCs w:val="26"/>
        </w:rPr>
        <w:t>Сургутского</w:t>
      </w:r>
    </w:p>
    <w:p w:rsidR="00402D0A" w:rsidRPr="00BC7064" w:rsidP="00402D0A">
      <w:pPr>
        <w:pStyle w:val="NormalWeb"/>
        <w:spacing w:before="0" w:after="0"/>
        <w:ind w:firstLine="720"/>
        <w:jc w:val="both"/>
        <w:rPr>
          <w:sz w:val="26"/>
          <w:szCs w:val="26"/>
        </w:rPr>
      </w:pPr>
      <w:r w:rsidRPr="00BC7064">
        <w:rPr>
          <w:sz w:val="26"/>
          <w:szCs w:val="26"/>
        </w:rPr>
        <w:t>судебного района города окружного значения Сургута</w:t>
      </w:r>
    </w:p>
    <w:p w:rsidR="00402D0A" w:rsidRPr="00BC7064" w:rsidP="00402D0A">
      <w:pPr>
        <w:pStyle w:val="NormalWeb"/>
        <w:spacing w:before="0" w:after="0"/>
        <w:ind w:firstLine="720"/>
        <w:jc w:val="both"/>
        <w:rPr>
          <w:sz w:val="26"/>
          <w:szCs w:val="26"/>
        </w:rPr>
      </w:pPr>
      <w:r w:rsidRPr="00BC7064">
        <w:rPr>
          <w:sz w:val="26"/>
          <w:szCs w:val="26"/>
        </w:rPr>
        <w:t xml:space="preserve">ХМАО-Югры Т.И. </w:t>
      </w:r>
      <w:r w:rsidRPr="00BC7064">
        <w:rPr>
          <w:sz w:val="26"/>
          <w:szCs w:val="26"/>
        </w:rPr>
        <w:t>Зиннурова</w:t>
      </w:r>
      <w:r w:rsidRPr="00BC7064">
        <w:rPr>
          <w:sz w:val="26"/>
          <w:szCs w:val="26"/>
          <w:u w:val="single"/>
        </w:rPr>
        <w:t>________________________</w:t>
      </w:r>
    </w:p>
    <w:p w:rsidR="00402D0A" w:rsidRPr="00BC7064" w:rsidP="00402D0A">
      <w:pPr>
        <w:pStyle w:val="NormalWeb"/>
        <w:spacing w:before="0" w:after="0"/>
        <w:ind w:firstLine="720"/>
        <w:jc w:val="both"/>
        <w:rPr>
          <w:sz w:val="26"/>
          <w:szCs w:val="26"/>
        </w:rPr>
      </w:pPr>
      <w:r w:rsidRPr="00BC7064">
        <w:rPr>
          <w:sz w:val="26"/>
          <w:szCs w:val="26"/>
        </w:rPr>
        <w:t xml:space="preserve">Подлинный документ находится в деле № </w:t>
      </w:r>
      <w:r w:rsidRPr="00BC7064" w:rsidR="00BC7064">
        <w:rPr>
          <w:sz w:val="26"/>
          <w:szCs w:val="26"/>
        </w:rPr>
        <w:t>05-0324/2607/2025</w:t>
      </w:r>
    </w:p>
    <w:p w:rsidR="00402D0A" w:rsidRPr="00BC7064" w:rsidP="00402D0A">
      <w:pPr>
        <w:jc w:val="both"/>
        <w:rPr>
          <w:sz w:val="26"/>
          <w:szCs w:val="26"/>
        </w:rPr>
      </w:pPr>
      <w:r w:rsidRPr="00BC7064">
        <w:rPr>
          <w:sz w:val="26"/>
          <w:szCs w:val="26"/>
        </w:rPr>
        <w:t xml:space="preserve">         </w:t>
      </w:r>
    </w:p>
    <w:p w:rsidR="00402D0A" w:rsidRPr="00BC7064" w:rsidP="00402D0A">
      <w:pPr>
        <w:ind w:firstLine="708"/>
        <w:jc w:val="both"/>
        <w:rPr>
          <w:sz w:val="26"/>
          <w:szCs w:val="26"/>
        </w:rPr>
      </w:pPr>
      <w:r w:rsidRPr="00BC7064">
        <w:rPr>
          <w:sz w:val="26"/>
          <w:szCs w:val="26"/>
        </w:rPr>
        <w:t>Разъяснить, что неуплата штрафа в течение шестидесяти дней с момента вступления постановления в законную силу влечет административную ответственность, предусмотренную частью 1 статьи 20.25 Кодекса Российской Федерации об административных правонарушениях,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административного ареста на срок до пятнадцати суток, либо обязательных работ на срок до пятидесяти часов.</w:t>
      </w:r>
    </w:p>
    <w:p w:rsidR="00402D0A" w:rsidRPr="00BC7064" w:rsidP="00402D0A">
      <w:pPr>
        <w:ind w:firstLine="708"/>
        <w:jc w:val="both"/>
        <w:rPr>
          <w:sz w:val="26"/>
          <w:szCs w:val="26"/>
        </w:rPr>
      </w:pPr>
      <w:r w:rsidRPr="00BC7064">
        <w:rPr>
          <w:sz w:val="26"/>
          <w:szCs w:val="26"/>
        </w:rPr>
        <w:t xml:space="preserve">Копию квитанции об оплате административного штрафа необходимо представить по адресу: г. Сургут, ул. Гагарина, дом 9, </w:t>
      </w:r>
      <w:r w:rsidRPr="00BC7064">
        <w:rPr>
          <w:sz w:val="26"/>
          <w:szCs w:val="26"/>
        </w:rPr>
        <w:t>каб</w:t>
      </w:r>
      <w:r w:rsidRPr="00BC7064">
        <w:rPr>
          <w:sz w:val="26"/>
          <w:szCs w:val="26"/>
        </w:rPr>
        <w:t>. 106.</w:t>
      </w:r>
    </w:p>
    <w:p w:rsidR="00ED0A79" w:rsidRPr="00BC7064" w:rsidP="00E70851">
      <w:pPr>
        <w:rPr>
          <w:sz w:val="26"/>
          <w:szCs w:val="26"/>
        </w:rPr>
      </w:pPr>
    </w:p>
    <w:sectPr w:rsidSect="00BC7064">
      <w:headerReference w:type="even" r:id="rId5"/>
      <w:headerReference w:type="default" r:id="rId6"/>
      <w:footerReference w:type="even" r:id="rId7"/>
      <w:footerReference w:type="default" r:id="rId8"/>
      <w:headerReference w:type="first" r:id="rId9"/>
      <w:footerReference w:type="first" r:id="rId10"/>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2730"/>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http://192.168.50.86/xlp7/</w:t>
          </w:r>
        </w:p>
      </w:tc>
      <w:tc>
        <w:tcPr>
          <w:tcW w:w="693" w:type="dxa"/>
          <w:shd w:val="clear" w:color="auto" w:fill="auto"/>
        </w:tcPr>
        <w:p w:rsidR="00402F8D" w:rsidRPr="00402D0A">
          <w:pPr>
            <w:pStyle w:val="Header"/>
            <w:rPr>
              <w:color w:val="FFFFFF"/>
              <w:lang w:val="en-US"/>
            </w:rPr>
          </w:pPr>
          <w:r>
            <w:rPr>
              <w:color w:val="FFFFFF"/>
              <w:lang w:val="en-US"/>
            </w:rPr>
            <w:t>069de058-4b46-44a4-a14f-4ad8a3864cc7</w:t>
          </w:r>
        </w:p>
      </w:tc>
    </w:tr>
  </w:tbl>
  <w:p w:rsidR="00402F8D" w:rsidRPr="00402D0A">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2E50B4D"/>
    <w:multiLevelType w:val="hybridMultilevel"/>
    <w:tmpl w:val="811693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3C47"/>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856CE"/>
    <w:rsid w:val="002A212B"/>
    <w:rsid w:val="002A71E9"/>
    <w:rsid w:val="002D07E6"/>
    <w:rsid w:val="002D356D"/>
    <w:rsid w:val="002F6E8A"/>
    <w:rsid w:val="00323AA9"/>
    <w:rsid w:val="00365B0B"/>
    <w:rsid w:val="00370417"/>
    <w:rsid w:val="003C6B41"/>
    <w:rsid w:val="003D11CD"/>
    <w:rsid w:val="003D1EE0"/>
    <w:rsid w:val="00402D0A"/>
    <w:rsid w:val="00402F8D"/>
    <w:rsid w:val="00431E00"/>
    <w:rsid w:val="004422E9"/>
    <w:rsid w:val="004511E2"/>
    <w:rsid w:val="00476AC4"/>
    <w:rsid w:val="00486F65"/>
    <w:rsid w:val="004B0163"/>
    <w:rsid w:val="004D3325"/>
    <w:rsid w:val="004D6DE2"/>
    <w:rsid w:val="00516B54"/>
    <w:rsid w:val="00530A06"/>
    <w:rsid w:val="00532F94"/>
    <w:rsid w:val="0054461C"/>
    <w:rsid w:val="0056788F"/>
    <w:rsid w:val="00584FE2"/>
    <w:rsid w:val="0058668D"/>
    <w:rsid w:val="005920B0"/>
    <w:rsid w:val="005946B8"/>
    <w:rsid w:val="005D63B8"/>
    <w:rsid w:val="006058F4"/>
    <w:rsid w:val="00614EA6"/>
    <w:rsid w:val="00631F8D"/>
    <w:rsid w:val="006331E3"/>
    <w:rsid w:val="00651F68"/>
    <w:rsid w:val="006A2FD4"/>
    <w:rsid w:val="006B368C"/>
    <w:rsid w:val="006F220C"/>
    <w:rsid w:val="00707093"/>
    <w:rsid w:val="0071240F"/>
    <w:rsid w:val="00717EEC"/>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B3CD2"/>
    <w:rsid w:val="008C3C91"/>
    <w:rsid w:val="008C4527"/>
    <w:rsid w:val="008C6DEF"/>
    <w:rsid w:val="008D4A2B"/>
    <w:rsid w:val="008D7CA2"/>
    <w:rsid w:val="008E65A9"/>
    <w:rsid w:val="009047C6"/>
    <w:rsid w:val="00930202"/>
    <w:rsid w:val="00941DDE"/>
    <w:rsid w:val="00950EBC"/>
    <w:rsid w:val="009C5616"/>
    <w:rsid w:val="009C74C6"/>
    <w:rsid w:val="00A01710"/>
    <w:rsid w:val="00A36582"/>
    <w:rsid w:val="00A502B5"/>
    <w:rsid w:val="00A91075"/>
    <w:rsid w:val="00AC0378"/>
    <w:rsid w:val="00AC4626"/>
    <w:rsid w:val="00AF2AFA"/>
    <w:rsid w:val="00B07E61"/>
    <w:rsid w:val="00B24373"/>
    <w:rsid w:val="00B3272A"/>
    <w:rsid w:val="00B46D85"/>
    <w:rsid w:val="00B83CE2"/>
    <w:rsid w:val="00B921AF"/>
    <w:rsid w:val="00BC2E59"/>
    <w:rsid w:val="00BC7064"/>
    <w:rsid w:val="00BD3407"/>
    <w:rsid w:val="00C056A0"/>
    <w:rsid w:val="00C1157C"/>
    <w:rsid w:val="00C34040"/>
    <w:rsid w:val="00C75973"/>
    <w:rsid w:val="00C83814"/>
    <w:rsid w:val="00CB3181"/>
    <w:rsid w:val="00CF0A9B"/>
    <w:rsid w:val="00D05236"/>
    <w:rsid w:val="00D17F2B"/>
    <w:rsid w:val="00D64649"/>
    <w:rsid w:val="00D65F02"/>
    <w:rsid w:val="00D6739A"/>
    <w:rsid w:val="00DE01F2"/>
    <w:rsid w:val="00DE768E"/>
    <w:rsid w:val="00DF199D"/>
    <w:rsid w:val="00E12323"/>
    <w:rsid w:val="00E34E9E"/>
    <w:rsid w:val="00E40710"/>
    <w:rsid w:val="00E70851"/>
    <w:rsid w:val="00E75CBC"/>
    <w:rsid w:val="00E94601"/>
    <w:rsid w:val="00EA2E1B"/>
    <w:rsid w:val="00ED0A79"/>
    <w:rsid w:val="00EE432C"/>
    <w:rsid w:val="00EE4E30"/>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AEA5267E-BF32-4CEE-B501-20C87BAE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402D0A"/>
    <w:pPr>
      <w:autoSpaceDN w:val="0"/>
      <w:spacing w:before="100" w:after="100"/>
    </w:pPr>
  </w:style>
  <w:style w:type="character" w:styleId="Hyperlink">
    <w:name w:val="Hyperlink"/>
    <w:uiPriority w:val="99"/>
    <w:unhideWhenUsed/>
    <w:rsid w:val="00365B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